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78" w:rsidRDefault="00F82C78" w:rsidP="00415F12">
      <w:bookmarkStart w:id="0" w:name="start"/>
      <w:bookmarkStart w:id="1" w:name="_GoBack"/>
      <w:bookmarkEnd w:id="0"/>
      <w:bookmarkEnd w:id="1"/>
    </w:p>
    <w:p w:rsidR="00E53DDD" w:rsidRDefault="00E53DDD" w:rsidP="00415F12"/>
    <w:p w:rsidR="00AC3B5F" w:rsidRDefault="00AC3B5F" w:rsidP="005C17AB"/>
    <w:p w:rsidR="00AC3B5F" w:rsidRDefault="00574EBB" w:rsidP="005C17AB">
      <w:pPr>
        <w:rPr>
          <w:b/>
          <w:sz w:val="28"/>
          <w:szCs w:val="28"/>
        </w:rPr>
      </w:pPr>
      <w:r w:rsidRPr="00E365DB">
        <w:rPr>
          <w:b/>
          <w:sz w:val="28"/>
          <w:szCs w:val="28"/>
        </w:rPr>
        <w:t>Hur skapas beteendefö</w:t>
      </w:r>
      <w:r w:rsidR="00950338">
        <w:rPr>
          <w:b/>
          <w:sz w:val="28"/>
          <w:szCs w:val="28"/>
        </w:rPr>
        <w:t>rändring för säkrare arbetssätt?</w:t>
      </w:r>
    </w:p>
    <w:p w:rsidR="00950338" w:rsidRDefault="00950338" w:rsidP="005C17AB">
      <w:pPr>
        <w:rPr>
          <w:b/>
          <w:sz w:val="28"/>
          <w:szCs w:val="28"/>
        </w:rPr>
      </w:pPr>
    </w:p>
    <w:p w:rsidR="00E53DDD" w:rsidRPr="00E365DB" w:rsidRDefault="00E53DDD" w:rsidP="005C17AB">
      <w:pPr>
        <w:rPr>
          <w:b/>
          <w:sz w:val="28"/>
          <w:szCs w:val="28"/>
        </w:rPr>
      </w:pPr>
    </w:p>
    <w:p w:rsidR="00415F12" w:rsidRDefault="005502DD" w:rsidP="005C17AB">
      <w:r>
        <w:t>Sammanfattning av</w:t>
      </w:r>
      <w:r w:rsidR="00950338">
        <w:t xml:space="preserve"> cafégruppsdiskussioner på nätverksträffen den 5 februari:</w:t>
      </w:r>
    </w:p>
    <w:p w:rsidR="00950338" w:rsidRDefault="00950338" w:rsidP="005C17AB"/>
    <w:p w:rsidR="00E53DDD" w:rsidRDefault="00E53DDD" w:rsidP="005C17AB"/>
    <w:p w:rsidR="00E53DDD" w:rsidRDefault="00E53DDD" w:rsidP="005C17AB"/>
    <w:p w:rsidR="00415F12" w:rsidRDefault="00415F12" w:rsidP="00415F12">
      <w:pPr>
        <w:pStyle w:val="Liststycke"/>
        <w:numPr>
          <w:ilvl w:val="0"/>
          <w:numId w:val="4"/>
        </w:numPr>
      </w:pPr>
      <w:r>
        <w:t>Högst</w:t>
      </w:r>
      <w:r w:rsidR="00950338">
        <w:t xml:space="preserve">a </w:t>
      </w:r>
      <w:r w:rsidR="00950338" w:rsidRPr="005502DD">
        <w:rPr>
          <w:b/>
        </w:rPr>
        <w:t>ledningens engagemang</w:t>
      </w:r>
      <w:r w:rsidR="00950338">
        <w:t xml:space="preserve"> för arbetsmiljöfrågorna är av största vikt. Högsta ledningens engagemang sprider sig i organisationer och bygger kultur. </w:t>
      </w:r>
      <w:r w:rsidR="00AD7848">
        <w:t>Chefer i l</w:t>
      </w:r>
      <w:r w:rsidR="006C325B">
        <w:t>edning</w:t>
      </w:r>
      <w:r w:rsidR="00AD7848">
        <w:t xml:space="preserve">en </w:t>
      </w:r>
      <w:r w:rsidR="006C325B">
        <w:t xml:space="preserve">som efterfrågar arbetsmiljödata, </w:t>
      </w:r>
      <w:r w:rsidR="00AD7848">
        <w:t xml:space="preserve">bryr sig om hur det går och följer upp gör skillnad. </w:t>
      </w:r>
    </w:p>
    <w:p w:rsidR="00AD7848" w:rsidRDefault="00AD7848" w:rsidP="00AD7848">
      <w:pPr>
        <w:pStyle w:val="Liststycke"/>
      </w:pPr>
    </w:p>
    <w:p w:rsidR="0055368D" w:rsidRDefault="00AD7848" w:rsidP="00415F12">
      <w:pPr>
        <w:pStyle w:val="Liststycke"/>
        <w:numPr>
          <w:ilvl w:val="0"/>
          <w:numId w:val="4"/>
        </w:numPr>
      </w:pPr>
      <w:r>
        <w:t xml:space="preserve">Försöka hitta </w:t>
      </w:r>
      <w:r w:rsidRPr="005502DD">
        <w:rPr>
          <w:b/>
        </w:rPr>
        <w:t>”a</w:t>
      </w:r>
      <w:r w:rsidR="0055368D" w:rsidRPr="005502DD">
        <w:rPr>
          <w:b/>
        </w:rPr>
        <w:t>mbassadörer</w:t>
      </w:r>
      <w:r>
        <w:t>”, personer som har inflytande i grupper</w:t>
      </w:r>
      <w:r w:rsidR="00AD79E3">
        <w:t xml:space="preserve">, och få dem att förstå och ta ansvar för arbetsmiljöfrågorna. </w:t>
      </w:r>
      <w:r w:rsidR="005502DD">
        <w:t>Dessa medarbetare blir då</w:t>
      </w:r>
      <w:r w:rsidR="0055368D">
        <w:t xml:space="preserve"> förebilder</w:t>
      </w:r>
      <w:r w:rsidR="005502DD">
        <w:t xml:space="preserve"> även inom arbetsmiljöområdet</w:t>
      </w:r>
      <w:r w:rsidR="0055368D">
        <w:t>.</w:t>
      </w:r>
      <w:r w:rsidR="00AD79E3">
        <w:t xml:space="preserve"> Stärker säkerhetskulturen.</w:t>
      </w:r>
    </w:p>
    <w:p w:rsidR="00AD79E3" w:rsidRDefault="00AD79E3" w:rsidP="00AD79E3">
      <w:pPr>
        <w:pStyle w:val="Liststycke"/>
      </w:pPr>
    </w:p>
    <w:p w:rsidR="00870640" w:rsidRDefault="0008679E" w:rsidP="00415F12">
      <w:pPr>
        <w:pStyle w:val="Liststycke"/>
        <w:numPr>
          <w:ilvl w:val="0"/>
          <w:numId w:val="4"/>
        </w:numPr>
      </w:pPr>
      <w:r w:rsidRPr="005502DD">
        <w:rPr>
          <w:b/>
        </w:rPr>
        <w:t>Kompetens</w:t>
      </w:r>
      <w:r>
        <w:t xml:space="preserve"> inom arbetsmiljö utifrån roll och ansvar. Med förståelse</w:t>
      </w:r>
      <w:r w:rsidR="00AE794D">
        <w:t xml:space="preserve"> om varför arbetsmiljöarbetet är viktigt</w:t>
      </w:r>
      <w:r>
        <w:t xml:space="preserve"> ökar möjligheten att </w:t>
      </w:r>
      <w:r w:rsidRPr="00B530E5">
        <w:rPr>
          <w:b/>
        </w:rPr>
        <w:t>t</w:t>
      </w:r>
      <w:r w:rsidR="00870640" w:rsidRPr="00B530E5">
        <w:rPr>
          <w:b/>
        </w:rPr>
        <w:t>a ans</w:t>
      </w:r>
      <w:r w:rsidR="00AE794D" w:rsidRPr="00B530E5">
        <w:rPr>
          <w:b/>
        </w:rPr>
        <w:t>var</w:t>
      </w:r>
      <w:r w:rsidR="00870640" w:rsidRPr="00B530E5">
        <w:rPr>
          <w:b/>
        </w:rPr>
        <w:t xml:space="preserve"> i sina respektive roller</w:t>
      </w:r>
      <w:r w:rsidR="00870640">
        <w:t>. Chef har extra ansvar men även medarbetare, projektledare, BAS-U, skyddsombud</w:t>
      </w:r>
      <w:r>
        <w:t xml:space="preserve"> mfl.</w:t>
      </w:r>
    </w:p>
    <w:p w:rsidR="006D2C7C" w:rsidRDefault="006D2C7C" w:rsidP="006D2C7C">
      <w:pPr>
        <w:pStyle w:val="Liststycke"/>
      </w:pPr>
    </w:p>
    <w:p w:rsidR="006D2C7C" w:rsidRDefault="006D2C7C" w:rsidP="00415F12">
      <w:pPr>
        <w:pStyle w:val="Liststycke"/>
        <w:numPr>
          <w:ilvl w:val="0"/>
          <w:numId w:val="4"/>
        </w:numPr>
      </w:pPr>
      <w:r w:rsidRPr="00B530E5">
        <w:rPr>
          <w:b/>
        </w:rPr>
        <w:t xml:space="preserve">Involvera och skapa delaktighet </w:t>
      </w:r>
      <w:r>
        <w:t>vid framtagandet av rutiner</w:t>
      </w:r>
      <w:r w:rsidR="0016331C">
        <w:t>, vad som är lämpliga skyddskläder</w:t>
      </w:r>
      <w:r>
        <w:t xml:space="preserve"> eller internt utbildningsmaterial i t ex SSG. Genom delaktighet vid framtagande ökar förutsättningarna för att få förståelse.</w:t>
      </w:r>
      <w:r w:rsidR="0016331C">
        <w:t xml:space="preserve"> </w:t>
      </w:r>
      <w:r w:rsidR="007F0B11">
        <w:t xml:space="preserve">Exempel som nämns är att göra denna typ av aktiviteter till en ”säkerhetsresa” som kommuniceras ut internt. </w:t>
      </w:r>
    </w:p>
    <w:p w:rsidR="0008679E" w:rsidRDefault="0008679E" w:rsidP="0008679E">
      <w:pPr>
        <w:pStyle w:val="Liststycke"/>
      </w:pPr>
    </w:p>
    <w:p w:rsidR="006C325B" w:rsidRDefault="006C325B" w:rsidP="00415F12">
      <w:pPr>
        <w:pStyle w:val="Liststycke"/>
        <w:numPr>
          <w:ilvl w:val="0"/>
          <w:numId w:val="4"/>
        </w:numPr>
      </w:pPr>
      <w:r w:rsidRPr="00B530E5">
        <w:rPr>
          <w:b/>
        </w:rPr>
        <w:t>Mod att agera</w:t>
      </w:r>
      <w:r>
        <w:t xml:space="preserve">. Omtänksamhet gentemot medarbetare samt agera vid brister. </w:t>
      </w:r>
      <w:r w:rsidR="0008679E">
        <w:t xml:space="preserve">Våga säga till. Även viktigt att det blir en </w:t>
      </w:r>
      <w:r w:rsidR="0008679E" w:rsidRPr="00B530E5">
        <w:rPr>
          <w:b/>
        </w:rPr>
        <w:t>konsekvens</w:t>
      </w:r>
      <w:r w:rsidR="0008679E">
        <w:t xml:space="preserve"> om arbetsmiljöregler och rutiner inte följs. Finns en arbetsrättslig sida på bristfälligt agerande.</w:t>
      </w:r>
      <w:r w:rsidR="009D5C7C">
        <w:t xml:space="preserve"> Arbeta med nudging som är en del inom beteendeekonomi.</w:t>
      </w:r>
    </w:p>
    <w:p w:rsidR="0008679E" w:rsidRDefault="0008679E" w:rsidP="0008679E">
      <w:pPr>
        <w:pStyle w:val="Liststycke"/>
      </w:pPr>
    </w:p>
    <w:p w:rsidR="00E365DB" w:rsidRDefault="00AE794D" w:rsidP="00415F12">
      <w:pPr>
        <w:pStyle w:val="Liststycke"/>
        <w:numPr>
          <w:ilvl w:val="0"/>
          <w:numId w:val="4"/>
        </w:numPr>
      </w:pPr>
      <w:r>
        <w:t xml:space="preserve">Medarbetare i organisationen måste </w:t>
      </w:r>
      <w:r w:rsidRPr="00B530E5">
        <w:rPr>
          <w:b/>
        </w:rPr>
        <w:t>få å</w:t>
      </w:r>
      <w:r w:rsidR="00E365DB" w:rsidRPr="00B530E5">
        <w:rPr>
          <w:b/>
        </w:rPr>
        <w:t>terkoppling</w:t>
      </w:r>
      <w:r w:rsidR="00E365DB">
        <w:t xml:space="preserve"> på rapporterade händelser. </w:t>
      </w:r>
      <w:r>
        <w:t xml:space="preserve">Vid återkoppling och resonemang om händelser är det viktigt att prata om </w:t>
      </w:r>
      <w:r w:rsidR="00E365DB">
        <w:t>händelse</w:t>
      </w:r>
      <w:r>
        <w:t>n i sig</w:t>
      </w:r>
      <w:r w:rsidR="00E365DB">
        <w:t xml:space="preserve">, orsak och beteende inte person. </w:t>
      </w:r>
      <w:r>
        <w:t xml:space="preserve">Viktigt </w:t>
      </w:r>
      <w:r w:rsidRPr="00B530E5">
        <w:rPr>
          <w:b/>
        </w:rPr>
        <w:t>att b</w:t>
      </w:r>
      <w:r w:rsidR="00E365DB" w:rsidRPr="00B530E5">
        <w:rPr>
          <w:b/>
        </w:rPr>
        <w:t xml:space="preserve">ygga tillit </w:t>
      </w:r>
      <w:r w:rsidR="00E365DB">
        <w:t>över tid.</w:t>
      </w:r>
      <w:r>
        <w:t xml:space="preserve"> Inte hänga ut någon. Att rapportera arbetsmiljöhändelser är bra!</w:t>
      </w:r>
    </w:p>
    <w:p w:rsidR="00AE794D" w:rsidRDefault="00AE794D" w:rsidP="00AE794D">
      <w:pPr>
        <w:pStyle w:val="Liststycke"/>
      </w:pPr>
    </w:p>
    <w:p w:rsidR="00E365DB" w:rsidRDefault="00E365DB" w:rsidP="00415F12">
      <w:pPr>
        <w:pStyle w:val="Liststycke"/>
        <w:numPr>
          <w:ilvl w:val="0"/>
          <w:numId w:val="4"/>
        </w:numPr>
      </w:pPr>
      <w:r>
        <w:t xml:space="preserve">Fylla </w:t>
      </w:r>
      <w:r w:rsidR="00AE794D">
        <w:t xml:space="preserve">eventuell </w:t>
      </w:r>
      <w:r>
        <w:t>”</w:t>
      </w:r>
      <w:r w:rsidR="00950338">
        <w:t>machokultur</w:t>
      </w:r>
      <w:r w:rsidR="00AE794D">
        <w:t xml:space="preserve">” med nytt innehåll där </w:t>
      </w:r>
      <w:r w:rsidR="00AE794D" w:rsidRPr="00B530E5">
        <w:rPr>
          <w:b/>
        </w:rPr>
        <w:t xml:space="preserve">säkerheten sätts </w:t>
      </w:r>
      <w:r w:rsidRPr="00B530E5">
        <w:rPr>
          <w:b/>
        </w:rPr>
        <w:t>först</w:t>
      </w:r>
      <w:r>
        <w:t>! ”Vi kan inte genomföra jobbet förrän vinden avtagit med tanke på säkerheten</w:t>
      </w:r>
      <w:r w:rsidR="00AE794D">
        <w:t xml:space="preserve">” kan vara ett sådant exempel. </w:t>
      </w:r>
      <w:r>
        <w:t xml:space="preserve">Skapa </w:t>
      </w:r>
      <w:r w:rsidR="00AE794D">
        <w:t>legitimitet att säga nej om förutsättningarna bedöms riskabla</w:t>
      </w:r>
      <w:r>
        <w:t>.</w:t>
      </w:r>
    </w:p>
    <w:p w:rsidR="00AE794D" w:rsidRDefault="00AE794D" w:rsidP="00AE794D">
      <w:pPr>
        <w:pStyle w:val="Liststycke"/>
      </w:pPr>
    </w:p>
    <w:p w:rsidR="00E365DB" w:rsidRDefault="0055368D" w:rsidP="00415F12">
      <w:pPr>
        <w:pStyle w:val="Liststycke"/>
        <w:numPr>
          <w:ilvl w:val="0"/>
          <w:numId w:val="4"/>
        </w:numPr>
      </w:pPr>
      <w:r w:rsidRPr="00B020F6">
        <w:rPr>
          <w:b/>
        </w:rPr>
        <w:t xml:space="preserve">Introduktion </w:t>
      </w:r>
      <w:r>
        <w:t>är mycket viktigt</w:t>
      </w:r>
      <w:r w:rsidR="00AE794D">
        <w:t xml:space="preserve"> tillsammans </w:t>
      </w:r>
      <w:r w:rsidR="00AE794D" w:rsidRPr="00B020F6">
        <w:rPr>
          <w:b/>
        </w:rPr>
        <w:t>med uppföljning</w:t>
      </w:r>
      <w:r w:rsidR="00AE794D">
        <w:t>. Exempel kan van vara att en nyanställd får en f</w:t>
      </w:r>
      <w:r w:rsidR="00F84DCF">
        <w:t>adder</w:t>
      </w:r>
      <w:r w:rsidR="0016331C">
        <w:t xml:space="preserve"> eller att man har en gemensam nyanställningsträff</w:t>
      </w:r>
      <w:r w:rsidR="00F84DCF">
        <w:t xml:space="preserve">. </w:t>
      </w:r>
      <w:r w:rsidR="00AE794D">
        <w:t xml:space="preserve">I introduktionen ska det vara ett </w:t>
      </w:r>
      <w:r w:rsidR="00F84DCF">
        <w:t xml:space="preserve">tydligt fokus på </w:t>
      </w:r>
      <w:r w:rsidR="00AE794D">
        <w:t xml:space="preserve">arbetsmiljö och </w:t>
      </w:r>
      <w:r w:rsidR="00F84DCF">
        <w:t xml:space="preserve">säkerhet. </w:t>
      </w:r>
      <w:r w:rsidR="00AE794D">
        <w:t xml:space="preserve">En nyanställd kan ses som en ”revisor” som med nya ögon kan identifiera riskfyllda situationer eller beteenden. Vara lyhörd för sådana reflektioner vid uppföljning med de respektive personerna. </w:t>
      </w:r>
    </w:p>
    <w:p w:rsidR="00AE794D" w:rsidRDefault="00AE794D" w:rsidP="00AE794D">
      <w:pPr>
        <w:pStyle w:val="Liststycke"/>
      </w:pPr>
    </w:p>
    <w:p w:rsidR="00AE794D" w:rsidRDefault="00AE794D" w:rsidP="00AE794D">
      <w:pPr>
        <w:pStyle w:val="Liststycke"/>
      </w:pPr>
    </w:p>
    <w:p w:rsidR="00F84DCF" w:rsidRDefault="0055368D" w:rsidP="00F84DCF">
      <w:pPr>
        <w:pStyle w:val="Liststycke"/>
        <w:numPr>
          <w:ilvl w:val="0"/>
          <w:numId w:val="4"/>
        </w:numPr>
      </w:pPr>
      <w:r w:rsidRPr="00B020F6">
        <w:rPr>
          <w:b/>
        </w:rPr>
        <w:t>BBS</w:t>
      </w:r>
      <w:r w:rsidR="00AE794D" w:rsidRPr="00B020F6">
        <w:rPr>
          <w:b/>
        </w:rPr>
        <w:t xml:space="preserve"> (Beteendebaserad säkerhet)</w:t>
      </w:r>
      <w:r w:rsidR="00AE794D">
        <w:t xml:space="preserve">. Arbeta aktivt med att uppmärksamma och </w:t>
      </w:r>
      <w:r>
        <w:t xml:space="preserve">stärka beteenden som stödjer/ger </w:t>
      </w:r>
      <w:r w:rsidR="00950338">
        <w:t>säkert</w:t>
      </w:r>
      <w:r>
        <w:t xml:space="preserve"> arbetssätt. Ha rutiner och regler som stödjer säkerhet. </w:t>
      </w:r>
      <w:r w:rsidR="00AE794D">
        <w:t xml:space="preserve">Ger legitimitet och ingjuter förhoppningsvis mod att agera. </w:t>
      </w:r>
    </w:p>
    <w:p w:rsidR="00AE794D" w:rsidRDefault="00AE794D" w:rsidP="00AE794D">
      <w:pPr>
        <w:pStyle w:val="Liststycke"/>
      </w:pPr>
    </w:p>
    <w:p w:rsidR="00D73AA5" w:rsidRDefault="00D73AA5" w:rsidP="00415F12">
      <w:pPr>
        <w:pStyle w:val="Liststycke"/>
        <w:numPr>
          <w:ilvl w:val="0"/>
          <w:numId w:val="4"/>
        </w:numPr>
      </w:pPr>
      <w:r>
        <w:t xml:space="preserve">Att </w:t>
      </w:r>
      <w:r w:rsidRPr="00B020F6">
        <w:rPr>
          <w:b/>
        </w:rPr>
        <w:t>säkerställa</w:t>
      </w:r>
      <w:r>
        <w:t xml:space="preserve"> att </w:t>
      </w:r>
      <w:r w:rsidRPr="00B020F6">
        <w:rPr>
          <w:b/>
        </w:rPr>
        <w:t>resurser</w:t>
      </w:r>
      <w:r>
        <w:t xml:space="preserve"> (kompetens, kunnande, förmåga, mandat, tid mm) finns för att lösa arbetsuppgiften. Det krävs m</w:t>
      </w:r>
      <w:r w:rsidR="00F84DCF">
        <w:t>od att agera</w:t>
      </w:r>
      <w:r>
        <w:t xml:space="preserve">. </w:t>
      </w:r>
    </w:p>
    <w:p w:rsidR="00D73AA5" w:rsidRDefault="00D73AA5" w:rsidP="00D73AA5">
      <w:pPr>
        <w:pStyle w:val="Liststycke"/>
      </w:pPr>
    </w:p>
    <w:p w:rsidR="00D73AA5" w:rsidRDefault="00D73AA5" w:rsidP="00D73AA5">
      <w:pPr>
        <w:pStyle w:val="Liststycke"/>
      </w:pPr>
      <w:r>
        <w:t>T e</w:t>
      </w:r>
      <w:r w:rsidR="00F84DCF">
        <w:t xml:space="preserve">x </w:t>
      </w:r>
      <w:r>
        <w:t>nämns en situation där en person får försämrad syn. Personen är  truckförare sedan många år, är trygg i den uppgiften och identifierar sig strakt med denna roll som det nu finns uppenbara risker med att hen utför. Mod krävs att prata med personen om detta, kontrollera syn och ändra personens arbetsuppgifter. Finns fall där man inte agerat trots att misstanken (vetskapen) om de förändrade förhållandena med olycka som följd.</w:t>
      </w:r>
    </w:p>
    <w:p w:rsidR="00D73AA5" w:rsidRDefault="00D73AA5" w:rsidP="00D73AA5">
      <w:pPr>
        <w:pStyle w:val="Liststycke"/>
      </w:pPr>
    </w:p>
    <w:p w:rsidR="00F84DCF" w:rsidRDefault="00D73AA5" w:rsidP="00D73AA5">
      <w:pPr>
        <w:pStyle w:val="Liststycke"/>
      </w:pPr>
      <w:r>
        <w:t xml:space="preserve">Ett annat exempel som nämns är att en person som varit inblandad i en el-olycka kanske inte kan, eller ska, fortsätta med tidigare arbetsuppgifterna. Konsekvens </w:t>
      </w:r>
      <w:r w:rsidRPr="00D73AA5">
        <w:rPr>
          <w:i/>
        </w:rPr>
        <w:t>kan</w:t>
      </w:r>
      <w:r>
        <w:t xml:space="preserve"> (men behöver inte) bli att ESA-certifikat dras in. </w:t>
      </w:r>
      <w:r w:rsidR="006D2C7C">
        <w:t xml:space="preserve">Bedömning måste göras om resurser finns att utföra uppgifterna igen efter en sådan incident. </w:t>
      </w:r>
    </w:p>
    <w:p w:rsidR="006D2C7C" w:rsidRDefault="006D2C7C" w:rsidP="00D73AA5">
      <w:pPr>
        <w:pStyle w:val="Liststycke"/>
      </w:pPr>
    </w:p>
    <w:p w:rsidR="006D2C7C" w:rsidRDefault="006D2C7C" w:rsidP="00D73AA5">
      <w:pPr>
        <w:pStyle w:val="Liststycke"/>
      </w:pPr>
    </w:p>
    <w:p w:rsidR="006D2C7C" w:rsidRDefault="006D2C7C" w:rsidP="006D2C7C">
      <w:pPr>
        <w:pStyle w:val="Liststycke"/>
        <w:numPr>
          <w:ilvl w:val="0"/>
          <w:numId w:val="4"/>
        </w:numPr>
      </w:pPr>
      <w:r>
        <w:t xml:space="preserve">Värderingsstyrt arbetsmiljöarbete med stöd av reglerna viktigt. </w:t>
      </w:r>
      <w:r w:rsidRPr="00B020F6">
        <w:rPr>
          <w:b/>
        </w:rPr>
        <w:t xml:space="preserve">Förståelse kring varför </w:t>
      </w:r>
      <w:r>
        <w:t>vi håller på med detta.</w:t>
      </w:r>
      <w:r w:rsidR="009D5C7C">
        <w:t xml:space="preserve"> </w:t>
      </w:r>
      <w:r w:rsidR="009D5C7C" w:rsidRPr="009D5C7C">
        <w:rPr>
          <w:b/>
        </w:rPr>
        <w:t>Det ska vara lätt att göra rätt.</w:t>
      </w:r>
      <w:r w:rsidR="009D5C7C">
        <w:rPr>
          <w:b/>
        </w:rPr>
        <w:t xml:space="preserve"> </w:t>
      </w:r>
    </w:p>
    <w:p w:rsidR="006D2C7C" w:rsidRDefault="006D2C7C" w:rsidP="006D2C7C">
      <w:pPr>
        <w:pStyle w:val="Liststycke"/>
      </w:pPr>
    </w:p>
    <w:p w:rsidR="006D2C7C" w:rsidRDefault="006D2C7C" w:rsidP="006D2C7C">
      <w:pPr>
        <w:pStyle w:val="Liststycke"/>
        <w:numPr>
          <w:ilvl w:val="0"/>
          <w:numId w:val="4"/>
        </w:numPr>
      </w:pPr>
      <w:r w:rsidRPr="00B020F6">
        <w:rPr>
          <w:b/>
        </w:rPr>
        <w:t>Använda expertstöd</w:t>
      </w:r>
      <w:r>
        <w:t xml:space="preserve"> vid behov. Chefen kan inte kunna allt. Involvera t ex företagshälsovård för att få fakta och underlag för beslut. </w:t>
      </w:r>
      <w:r w:rsidR="007F0B11">
        <w:t>Om man har svårt att få gehör för arbetsmiljöfrågor och ansvar som följer med det internt, t ex hos en chef/VD, kan det vara klokt att ta in extern konsult/kraft som informerar/utbildar/förklarar. Vi jämför med kriminologen Leif GW Persson som har förmåga att få folk att lyssna och förstå allvaret.</w:t>
      </w:r>
    </w:p>
    <w:p w:rsidR="00587A10" w:rsidRDefault="00587A10" w:rsidP="00587A10">
      <w:pPr>
        <w:pStyle w:val="Liststycke"/>
      </w:pPr>
    </w:p>
    <w:p w:rsidR="00587A10" w:rsidRDefault="00587A10" w:rsidP="006D2C7C">
      <w:pPr>
        <w:pStyle w:val="Liststycke"/>
        <w:numPr>
          <w:ilvl w:val="0"/>
          <w:numId w:val="4"/>
        </w:numPr>
      </w:pPr>
      <w:r w:rsidRPr="00587A10">
        <w:rPr>
          <w:b/>
        </w:rPr>
        <w:t>Påvisa ekonomiska effekter</w:t>
      </w:r>
      <w:r>
        <w:t xml:space="preserve"> av vad en olycka kostar, kan kosta. </w:t>
      </w:r>
    </w:p>
    <w:p w:rsidR="006D2C7C" w:rsidRDefault="006D2C7C" w:rsidP="006D2C7C">
      <w:pPr>
        <w:pStyle w:val="Liststycke"/>
      </w:pPr>
    </w:p>
    <w:p w:rsidR="006D2C7C" w:rsidRDefault="006D2C7C" w:rsidP="006D2C7C">
      <w:pPr>
        <w:pStyle w:val="Liststycke"/>
        <w:numPr>
          <w:ilvl w:val="0"/>
          <w:numId w:val="4"/>
        </w:numPr>
      </w:pPr>
      <w:r>
        <w:t xml:space="preserve">Skicka </w:t>
      </w:r>
      <w:r w:rsidRPr="00B020F6">
        <w:rPr>
          <w:b/>
        </w:rPr>
        <w:t>notiser</w:t>
      </w:r>
      <w:r>
        <w:t xml:space="preserve"> via webb/app med säkerhets- och arbetsmiljöbudskap.</w:t>
      </w:r>
    </w:p>
    <w:p w:rsidR="006D2C7C" w:rsidRDefault="006D2C7C" w:rsidP="006D2C7C">
      <w:pPr>
        <w:pStyle w:val="Liststycke"/>
      </w:pPr>
    </w:p>
    <w:p w:rsidR="006D2C7C" w:rsidRDefault="006D2C7C" w:rsidP="006D2C7C">
      <w:pPr>
        <w:pStyle w:val="Liststycke"/>
        <w:numPr>
          <w:ilvl w:val="0"/>
          <w:numId w:val="4"/>
        </w:numPr>
      </w:pPr>
      <w:r>
        <w:lastRenderedPageBreak/>
        <w:t>Använda webbaserade verktyg för att säkerställa att kunskap om skyddsföreskrifter blir kända och efterlevs. Dock; viktigt med uppföljning så att tester via nätet gjorts på korrekt sätt!</w:t>
      </w:r>
    </w:p>
    <w:p w:rsidR="006D2C7C" w:rsidRDefault="006D2C7C" w:rsidP="006D2C7C">
      <w:pPr>
        <w:pStyle w:val="Liststycke"/>
      </w:pPr>
    </w:p>
    <w:p w:rsidR="006D2C7C" w:rsidRDefault="006D2C7C" w:rsidP="006D2C7C">
      <w:pPr>
        <w:pStyle w:val="Liststycke"/>
        <w:numPr>
          <w:ilvl w:val="0"/>
          <w:numId w:val="4"/>
        </w:numPr>
      </w:pPr>
      <w:r w:rsidRPr="00B020F6">
        <w:rPr>
          <w:b/>
        </w:rPr>
        <w:t>Vara synlig ute i verksamheten</w:t>
      </w:r>
      <w:r>
        <w:t xml:space="preserve"> i rollen som skyddsingenjör, HR eller annan funktion i stab/HSEQ som arbetar med frågorna. </w:t>
      </w:r>
    </w:p>
    <w:p w:rsidR="00B530E5" w:rsidRDefault="00B530E5" w:rsidP="00B530E5">
      <w:pPr>
        <w:pStyle w:val="Liststycke"/>
      </w:pPr>
    </w:p>
    <w:p w:rsidR="00B530E5" w:rsidRPr="00E53DDD" w:rsidRDefault="00B530E5" w:rsidP="008E5CE4">
      <w:pPr>
        <w:pStyle w:val="Liststycke"/>
        <w:numPr>
          <w:ilvl w:val="0"/>
          <w:numId w:val="4"/>
        </w:numPr>
      </w:pPr>
      <w:r w:rsidRPr="009D5C7C">
        <w:rPr>
          <w:b/>
        </w:rPr>
        <w:t>Vi jobbar säkert eller inte alls</w:t>
      </w:r>
      <w:r w:rsidR="009D5C7C">
        <w:rPr>
          <w:b/>
        </w:rPr>
        <w:t xml:space="preserve">. </w:t>
      </w:r>
      <w:r w:rsidR="009D5C7C" w:rsidRPr="009D5C7C">
        <w:rPr>
          <w:b/>
        </w:rPr>
        <w:t xml:space="preserve"> </w:t>
      </w:r>
    </w:p>
    <w:p w:rsidR="00E53DDD" w:rsidRDefault="00E53DDD" w:rsidP="00E53DDD">
      <w:pPr>
        <w:pStyle w:val="Liststycke"/>
      </w:pPr>
    </w:p>
    <w:p w:rsidR="00E53DDD" w:rsidRDefault="00E53DDD" w:rsidP="00E53DDD"/>
    <w:p w:rsidR="00E53DDD" w:rsidRDefault="00E53DDD" w:rsidP="00E53DDD"/>
    <w:p w:rsidR="00E53DDD" w:rsidRDefault="00E53DDD" w:rsidP="00E53DDD"/>
    <w:p w:rsidR="00E53DDD" w:rsidRDefault="00E53DDD" w:rsidP="00E53DDD">
      <w:r>
        <w:t>Peter Johannesson</w:t>
      </w:r>
    </w:p>
    <w:p w:rsidR="006D2C7C" w:rsidRDefault="006D2C7C" w:rsidP="00D73AA5">
      <w:pPr>
        <w:pStyle w:val="Liststycke"/>
      </w:pPr>
    </w:p>
    <w:sectPr w:rsidR="006D2C7C">
      <w:headerReference w:type="default" r:id="rId7"/>
      <w:footerReference w:type="default" r:id="rId8"/>
      <w:pgSz w:w="11906" w:h="16838"/>
      <w:pgMar w:top="2552" w:right="2552" w:bottom="1985" w:left="1418" w:header="72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5F" w:rsidRDefault="00AC3B5F">
      <w:r>
        <w:separator/>
      </w:r>
    </w:p>
  </w:endnote>
  <w:endnote w:type="continuationSeparator" w:id="0">
    <w:p w:rsidR="00AC3B5F" w:rsidRDefault="00AC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097"/>
      <w:gridCol w:w="171"/>
      <w:gridCol w:w="284"/>
      <w:gridCol w:w="2621"/>
    </w:tblGrid>
    <w:tr w:rsidR="00AC3B5F" w:rsidRPr="00CC5345" w:rsidTr="00AF1EDB">
      <w:tc>
        <w:tcPr>
          <w:tcW w:w="2268" w:type="dxa"/>
        </w:tcPr>
        <w:p w:rsidR="00AC3B5F" w:rsidRPr="0060652B" w:rsidRDefault="00AC3B5F" w:rsidP="00AC3B5F">
          <w:pPr>
            <w:pStyle w:val="Sidfot"/>
            <w:spacing w:before="80"/>
            <w:rPr>
              <w:rFonts w:ascii="Corbel" w:hAnsi="Corbel"/>
              <w:szCs w:val="16"/>
            </w:rPr>
          </w:pPr>
          <w:r>
            <w:rPr>
              <w:rFonts w:ascii="Corbel" w:hAnsi="Corbel"/>
              <w:szCs w:val="16"/>
            </w:rPr>
            <w:t>Göteborg Energi AB</w:t>
          </w:r>
        </w:p>
        <w:p w:rsidR="00AC3B5F" w:rsidRPr="00CC5345" w:rsidRDefault="00AC3B5F" w:rsidP="00AC3B5F">
          <w:pPr>
            <w:pStyle w:val="Sidfot"/>
            <w:rPr>
              <w:rFonts w:ascii="Corbel" w:hAnsi="Corbel"/>
              <w:szCs w:val="16"/>
            </w:rPr>
          </w:pPr>
          <w:r w:rsidRPr="00CC5345">
            <w:rPr>
              <w:rFonts w:ascii="Corbel" w:hAnsi="Corbel"/>
              <w:szCs w:val="16"/>
            </w:rPr>
            <w:t>Box 53</w:t>
          </w:r>
        </w:p>
        <w:p w:rsidR="00AC3B5F" w:rsidRDefault="00AC3B5F" w:rsidP="00AC3B5F">
          <w:pPr>
            <w:pStyle w:val="Sidfot"/>
            <w:rPr>
              <w:rFonts w:ascii="Corbel" w:hAnsi="Corbel"/>
              <w:szCs w:val="16"/>
            </w:rPr>
          </w:pPr>
          <w:r w:rsidRPr="003377D7">
            <w:rPr>
              <w:rFonts w:ascii="Corbel" w:hAnsi="Corbel"/>
              <w:szCs w:val="16"/>
            </w:rPr>
            <w:t xml:space="preserve">401 20 </w:t>
          </w:r>
          <w:r>
            <w:rPr>
              <w:rFonts w:ascii="Corbel" w:hAnsi="Corbel"/>
              <w:szCs w:val="16"/>
            </w:rPr>
            <w:t>Göteborg</w:t>
          </w:r>
        </w:p>
        <w:p w:rsidR="00AC3B5F" w:rsidRPr="00CC5345" w:rsidRDefault="00AC3B5F" w:rsidP="00AC3B5F">
          <w:pPr>
            <w:pStyle w:val="Sidfot"/>
            <w:rPr>
              <w:rFonts w:ascii="Corbel" w:hAnsi="Corbel"/>
              <w:szCs w:val="16"/>
            </w:rPr>
          </w:pPr>
        </w:p>
        <w:p w:rsidR="00AC3B5F" w:rsidRPr="00CC5345" w:rsidRDefault="00AC3B5F" w:rsidP="00AC3B5F">
          <w:pPr>
            <w:pStyle w:val="Sidfot"/>
            <w:rPr>
              <w:rFonts w:ascii="Corbel" w:hAnsi="Corbel"/>
              <w:szCs w:val="16"/>
            </w:rPr>
          </w:pPr>
          <w:r>
            <w:rPr>
              <w:rFonts w:ascii="Corbel" w:hAnsi="Corbel"/>
              <w14:numForm w14:val="lining"/>
            </w:rPr>
            <w:t>En del av Göteborgs Stad</w:t>
          </w:r>
        </w:p>
      </w:tc>
      <w:tc>
        <w:tcPr>
          <w:tcW w:w="2268" w:type="dxa"/>
        </w:tcPr>
        <w:p w:rsidR="00AC3B5F" w:rsidRPr="0060652B" w:rsidRDefault="00AC3B5F" w:rsidP="00AC3B5F">
          <w:pPr>
            <w:pStyle w:val="Sidfot"/>
            <w:spacing w:before="80"/>
            <w:rPr>
              <w:rFonts w:ascii="Corbel" w:hAnsi="Corbel"/>
              <w:szCs w:val="16"/>
            </w:rPr>
          </w:pPr>
          <w:r>
            <w:rPr>
              <w:rFonts w:ascii="Corbel" w:hAnsi="Corbel"/>
              <w:szCs w:val="16"/>
            </w:rPr>
            <w:t>Besöksadress:</w:t>
          </w:r>
        </w:p>
        <w:p w:rsidR="00AC3B5F" w:rsidRPr="00CC5345" w:rsidRDefault="00AC3B5F" w:rsidP="00AC3B5F">
          <w:pPr>
            <w:pStyle w:val="Sidfot"/>
            <w:rPr>
              <w:rFonts w:ascii="Corbel" w:hAnsi="Corbel"/>
              <w:szCs w:val="16"/>
            </w:rPr>
          </w:pPr>
          <w:r w:rsidRPr="00CC5345">
            <w:rPr>
              <w:rFonts w:ascii="Corbel" w:hAnsi="Corbel"/>
              <w:szCs w:val="16"/>
            </w:rPr>
            <w:t>Johan Willins gata 3</w:t>
          </w:r>
          <w:r>
            <w:rPr>
              <w:rFonts w:ascii="Corbel" w:hAnsi="Corbel"/>
              <w:szCs w:val="16"/>
            </w:rPr>
            <w:br/>
          </w:r>
          <w:r w:rsidRPr="00CC5345">
            <w:rPr>
              <w:rFonts w:ascii="Corbel" w:hAnsi="Corbel"/>
              <w:szCs w:val="16"/>
            </w:rPr>
            <w:t>Göteborg</w:t>
          </w:r>
        </w:p>
        <w:p w:rsidR="00AC3B5F" w:rsidRPr="00CC5345" w:rsidRDefault="00AC3B5F" w:rsidP="00AC3B5F">
          <w:pPr>
            <w:pStyle w:val="Sidfot"/>
            <w:rPr>
              <w:rFonts w:ascii="Corbel" w:hAnsi="Corbel"/>
              <w:b/>
              <w:szCs w:val="16"/>
            </w:rPr>
          </w:pPr>
        </w:p>
        <w:p w:rsidR="00AC3B5F" w:rsidRPr="00CC5345" w:rsidRDefault="00AC3B5F" w:rsidP="00AC3B5F">
          <w:pPr>
            <w:pStyle w:val="Sidfot"/>
            <w:rPr>
              <w:rFonts w:ascii="Corbel" w:hAnsi="Corbel"/>
              <w:szCs w:val="16"/>
            </w:rPr>
          </w:pPr>
        </w:p>
      </w:tc>
      <w:tc>
        <w:tcPr>
          <w:tcW w:w="2097" w:type="dxa"/>
        </w:tcPr>
        <w:p w:rsidR="00AC3B5F" w:rsidRPr="00CC5345" w:rsidRDefault="00AC3B5F" w:rsidP="00AC3B5F">
          <w:pPr>
            <w:pStyle w:val="Sidfot"/>
            <w:spacing w:before="80"/>
            <w:rPr>
              <w:rFonts w:ascii="Corbel" w:hAnsi="Corbel"/>
              <w:szCs w:val="16"/>
            </w:rPr>
          </w:pPr>
          <w:r w:rsidRPr="0060652B">
            <w:rPr>
              <w:rFonts w:ascii="Corbel" w:hAnsi="Corbel"/>
              <w:szCs w:val="16"/>
            </w:rPr>
            <w:t>Kundservice</w:t>
          </w:r>
          <w:r>
            <w:rPr>
              <w:rFonts w:ascii="Corbel" w:hAnsi="Corbel"/>
              <w:szCs w:val="16"/>
            </w:rPr>
            <w:t>: 031-6</w:t>
          </w:r>
          <w:r w:rsidRPr="00CC5345">
            <w:rPr>
              <w:rFonts w:ascii="Corbel" w:hAnsi="Corbel"/>
              <w:szCs w:val="16"/>
            </w:rPr>
            <w:t>2 62 62</w:t>
          </w:r>
        </w:p>
        <w:p w:rsidR="00AC3B5F" w:rsidRPr="00CC5345" w:rsidRDefault="00AC3B5F" w:rsidP="00AC3B5F">
          <w:pPr>
            <w:pStyle w:val="Sidfot"/>
            <w:rPr>
              <w:rFonts w:ascii="Corbel" w:hAnsi="Corbel"/>
              <w:szCs w:val="16"/>
            </w:rPr>
          </w:pPr>
          <w:r>
            <w:rPr>
              <w:rFonts w:ascii="Corbel" w:hAnsi="Corbel"/>
              <w:szCs w:val="16"/>
            </w:rPr>
            <w:t>Växel: 031-62 60 00</w:t>
          </w:r>
        </w:p>
        <w:p w:rsidR="00AC3B5F" w:rsidRPr="0060652B" w:rsidRDefault="00AC3B5F" w:rsidP="00AC3B5F">
          <w:pPr>
            <w:pStyle w:val="Sidfot"/>
            <w:rPr>
              <w:rFonts w:ascii="Corbel" w:hAnsi="Corbel"/>
              <w:szCs w:val="16"/>
            </w:rPr>
          </w:pPr>
          <w:r>
            <w:rPr>
              <w:rFonts w:ascii="Corbel" w:hAnsi="Corbel"/>
              <w:szCs w:val="16"/>
            </w:rPr>
            <w:t>www.goteborgenergi.se</w:t>
          </w:r>
        </w:p>
        <w:p w:rsidR="00AC3B5F" w:rsidRPr="00CC5345" w:rsidRDefault="00AC3B5F" w:rsidP="00AC3B5F">
          <w:pPr>
            <w:pStyle w:val="Sidfot"/>
            <w:rPr>
              <w:rFonts w:ascii="Corbel" w:hAnsi="Corbel"/>
              <w:szCs w:val="16"/>
            </w:rPr>
          </w:pPr>
          <w:r>
            <w:rPr>
              <w:rFonts w:ascii="Corbel" w:hAnsi="Corbel"/>
              <w:snapToGrid w:val="0"/>
              <w:szCs w:val="16"/>
            </w:rPr>
            <w:t>Fax: 031-15 25 01</w:t>
          </w:r>
        </w:p>
      </w:tc>
      <w:tc>
        <w:tcPr>
          <w:tcW w:w="171" w:type="dxa"/>
        </w:tcPr>
        <w:p w:rsidR="00AC3B5F" w:rsidRPr="00CC5345" w:rsidRDefault="00AC3B5F" w:rsidP="00AC3B5F">
          <w:pPr>
            <w:pStyle w:val="Sidfot"/>
            <w:rPr>
              <w:rFonts w:ascii="Corbel" w:hAnsi="Corbel"/>
              <w:b/>
              <w:szCs w:val="16"/>
            </w:rPr>
          </w:pPr>
        </w:p>
      </w:tc>
      <w:tc>
        <w:tcPr>
          <w:tcW w:w="284" w:type="dxa"/>
        </w:tcPr>
        <w:p w:rsidR="00AC3B5F" w:rsidRPr="00CC5345" w:rsidRDefault="00AC3B5F" w:rsidP="00AC3B5F">
          <w:pPr>
            <w:pStyle w:val="Sidfot"/>
            <w:rPr>
              <w:rFonts w:ascii="Corbel" w:hAnsi="Corbel"/>
              <w:szCs w:val="16"/>
            </w:rPr>
          </w:pPr>
        </w:p>
      </w:tc>
      <w:tc>
        <w:tcPr>
          <w:tcW w:w="2621" w:type="dxa"/>
        </w:tcPr>
        <w:p w:rsidR="00AC3B5F" w:rsidRPr="005965E4" w:rsidRDefault="00AC3B5F" w:rsidP="00AC3B5F">
          <w:pPr>
            <w:pStyle w:val="Sidfot"/>
            <w:spacing w:before="80"/>
            <w:rPr>
              <w:rFonts w:ascii="Corbel" w:hAnsi="Corbel"/>
              <w:szCs w:val="16"/>
            </w:rPr>
          </w:pPr>
          <w:r>
            <w:rPr>
              <w:rFonts w:ascii="Corbel" w:hAnsi="Corbel"/>
              <w:szCs w:val="16"/>
            </w:rPr>
            <w:t>Organisationsnummer:</w:t>
          </w:r>
        </w:p>
        <w:p w:rsidR="00AC3B5F" w:rsidRPr="00CC5345" w:rsidRDefault="00AC3B5F" w:rsidP="00AC3B5F">
          <w:pPr>
            <w:pStyle w:val="Sidfot"/>
            <w:rPr>
              <w:rFonts w:ascii="Corbel" w:hAnsi="Corbel"/>
              <w:szCs w:val="16"/>
            </w:rPr>
          </w:pPr>
          <w:r w:rsidRPr="00CC5345">
            <w:rPr>
              <w:rFonts w:ascii="Corbel" w:hAnsi="Corbel"/>
              <w:szCs w:val="16"/>
            </w:rPr>
            <w:t>556362-6794</w:t>
          </w:r>
        </w:p>
        <w:p w:rsidR="00AC3B5F" w:rsidRPr="005965E4" w:rsidRDefault="00AC3B5F" w:rsidP="00AC3B5F">
          <w:pPr>
            <w:pStyle w:val="Sidfot"/>
            <w:rPr>
              <w:rFonts w:ascii="Corbel" w:hAnsi="Corbel"/>
              <w:szCs w:val="16"/>
            </w:rPr>
          </w:pPr>
          <w:r>
            <w:rPr>
              <w:rFonts w:ascii="Corbel" w:hAnsi="Corbel"/>
              <w:szCs w:val="16"/>
            </w:rPr>
            <w:t>Momsregistreringsnummer:</w:t>
          </w:r>
        </w:p>
        <w:p w:rsidR="00AC3B5F" w:rsidRPr="00CC5345" w:rsidRDefault="00AC3B5F" w:rsidP="00AC3B5F">
          <w:pPr>
            <w:pStyle w:val="Sidfot"/>
            <w:rPr>
              <w:rFonts w:ascii="Corbel" w:hAnsi="Corbel"/>
              <w:szCs w:val="16"/>
            </w:rPr>
          </w:pPr>
          <w:r w:rsidRPr="00CC5345">
            <w:rPr>
              <w:rFonts w:ascii="Corbel" w:hAnsi="Corbel"/>
              <w:szCs w:val="16"/>
            </w:rPr>
            <w:t>SE556362679401</w:t>
          </w:r>
        </w:p>
      </w:tc>
    </w:tr>
  </w:tbl>
  <w:p w:rsidR="00A80F34" w:rsidRDefault="00A80F34" w:rsidP="005C17AB">
    <w:pPr>
      <w:pStyle w:val="Sidfot"/>
    </w:pPr>
    <w:r>
      <w:rPr>
        <w:sz w:val="12"/>
      </w:rPr>
      <w:fldChar w:fldCharType="begin"/>
    </w:r>
    <w:r>
      <w:rPr>
        <w:sz w:val="12"/>
      </w:rPr>
      <w:instrText xml:space="preserve"> DOCPROPERTY "Category"  \* MERGEFORMAT </w:instrText>
    </w:r>
    <w:r>
      <w:rPr>
        <w:sz w:val="12"/>
      </w:rPr>
      <w:fldChar w:fldCharType="end"/>
    </w:r>
  </w:p>
  <w:p w:rsidR="00A80F34" w:rsidRDefault="00A80F34">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5F" w:rsidRDefault="00AC3B5F">
      <w:r>
        <w:separator/>
      </w:r>
    </w:p>
  </w:footnote>
  <w:footnote w:type="continuationSeparator" w:id="0">
    <w:p w:rsidR="00AC3B5F" w:rsidRDefault="00AC3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614"/>
      <w:gridCol w:w="992"/>
      <w:gridCol w:w="3402"/>
      <w:gridCol w:w="1208"/>
    </w:tblGrid>
    <w:tr w:rsidR="00A80F34">
      <w:trPr>
        <w:cantSplit/>
      </w:trPr>
      <w:tc>
        <w:tcPr>
          <w:tcW w:w="3614" w:type="dxa"/>
          <w:vMerge w:val="restart"/>
        </w:tcPr>
        <w:p w:rsidR="00A80F34" w:rsidRDefault="00AC3B5F" w:rsidP="005C17AB">
          <w:pPr>
            <w:pStyle w:val="Sidhuvud"/>
          </w:pPr>
          <w:bookmarkStart w:id="2" w:name="logga"/>
          <w:bookmarkEnd w:id="2"/>
          <w:r>
            <w:rPr>
              <w:noProof/>
            </w:rPr>
            <w:drawing>
              <wp:inline distT="0" distB="0" distL="0" distR="0">
                <wp:extent cx="2123810" cy="342857"/>
                <wp:effectExtent l="0" t="0" r="0" b="63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3810" cy="342857"/>
                        </a:xfrm>
                        <a:prstGeom prst="rect">
                          <a:avLst/>
                        </a:prstGeom>
                      </pic:spPr>
                    </pic:pic>
                  </a:graphicData>
                </a:graphic>
              </wp:inline>
            </w:drawing>
          </w:r>
        </w:p>
      </w:tc>
      <w:tc>
        <w:tcPr>
          <w:tcW w:w="992" w:type="dxa"/>
          <w:vMerge w:val="restart"/>
        </w:tcPr>
        <w:p w:rsidR="00A80F34" w:rsidRDefault="00A80F34" w:rsidP="005C17AB">
          <w:pPr>
            <w:pStyle w:val="Sidhuvud"/>
          </w:pPr>
        </w:p>
      </w:tc>
      <w:tc>
        <w:tcPr>
          <w:tcW w:w="3402" w:type="dxa"/>
        </w:tcPr>
        <w:p w:rsidR="00A80F34" w:rsidRDefault="00A80F34" w:rsidP="005C17AB">
          <w:pPr>
            <w:pStyle w:val="Sidhuvud"/>
          </w:pPr>
          <w:bookmarkStart w:id="3" w:name="title"/>
          <w:bookmarkEnd w:id="3"/>
        </w:p>
      </w:tc>
      <w:tc>
        <w:tcPr>
          <w:tcW w:w="1208" w:type="dxa"/>
        </w:tcPr>
        <w:p w:rsidR="00A80F34" w:rsidRDefault="00A80F34" w:rsidP="005C17AB">
          <w:pPr>
            <w:pStyle w:val="Sidhuvud"/>
            <w:jc w:val="right"/>
          </w:pPr>
        </w:p>
      </w:tc>
    </w:tr>
    <w:tr w:rsidR="00A80F34">
      <w:trPr>
        <w:cantSplit/>
      </w:trPr>
      <w:tc>
        <w:tcPr>
          <w:tcW w:w="3614" w:type="dxa"/>
          <w:vMerge/>
        </w:tcPr>
        <w:p w:rsidR="00A80F34" w:rsidRDefault="00A80F34" w:rsidP="005C17AB">
          <w:pPr>
            <w:pStyle w:val="Sidhuvud"/>
          </w:pPr>
        </w:p>
      </w:tc>
      <w:tc>
        <w:tcPr>
          <w:tcW w:w="992" w:type="dxa"/>
          <w:vMerge/>
        </w:tcPr>
        <w:p w:rsidR="00A80F34" w:rsidRDefault="00A80F34" w:rsidP="005C17AB">
          <w:pPr>
            <w:pStyle w:val="Sidhuvud"/>
          </w:pPr>
        </w:p>
      </w:tc>
      <w:tc>
        <w:tcPr>
          <w:tcW w:w="3402" w:type="dxa"/>
        </w:tcPr>
        <w:p w:rsidR="00A80F34" w:rsidRDefault="00A80F34" w:rsidP="005C17AB">
          <w:pPr>
            <w:pStyle w:val="Sidhuvud"/>
          </w:pPr>
        </w:p>
      </w:tc>
      <w:tc>
        <w:tcPr>
          <w:tcW w:w="1208" w:type="dxa"/>
        </w:tcPr>
        <w:p w:rsidR="00A80F34" w:rsidRDefault="00A80F34" w:rsidP="005C17AB">
          <w:pPr>
            <w:pStyle w:val="Sidhuvud"/>
          </w:pPr>
        </w:p>
      </w:tc>
    </w:tr>
    <w:tr w:rsidR="00A80F34">
      <w:trPr>
        <w:cantSplit/>
      </w:trPr>
      <w:tc>
        <w:tcPr>
          <w:tcW w:w="3614" w:type="dxa"/>
          <w:vMerge/>
        </w:tcPr>
        <w:p w:rsidR="00A80F34" w:rsidRDefault="00A80F34" w:rsidP="005C17AB">
          <w:pPr>
            <w:pStyle w:val="Sidhuvud"/>
          </w:pPr>
        </w:p>
      </w:tc>
      <w:tc>
        <w:tcPr>
          <w:tcW w:w="992" w:type="dxa"/>
          <w:vMerge/>
        </w:tcPr>
        <w:p w:rsidR="00A80F34" w:rsidRDefault="00A80F34" w:rsidP="005C17AB">
          <w:pPr>
            <w:pStyle w:val="Sidhuvud"/>
          </w:pPr>
        </w:p>
      </w:tc>
      <w:tc>
        <w:tcPr>
          <w:tcW w:w="3402" w:type="dxa"/>
        </w:tcPr>
        <w:p w:rsidR="00A80F34" w:rsidRDefault="00950338" w:rsidP="00950338">
          <w:pPr>
            <w:pStyle w:val="Sidhuvud"/>
          </w:pPr>
          <w:bookmarkStart w:id="4" w:name="date"/>
          <w:bookmarkEnd w:id="4"/>
          <w:r>
            <w:t>2020-02</w:t>
          </w:r>
          <w:r w:rsidR="00AC3B5F">
            <w:t>-</w:t>
          </w:r>
          <w:r>
            <w:t>05</w:t>
          </w:r>
        </w:p>
      </w:tc>
      <w:tc>
        <w:tcPr>
          <w:tcW w:w="1208" w:type="dxa"/>
        </w:tcPr>
        <w:p w:rsidR="00A80F34" w:rsidRDefault="00A80F34" w:rsidP="005C17AB">
          <w:pPr>
            <w:pStyle w:val="Sidhuvud"/>
          </w:pPr>
        </w:p>
      </w:tc>
    </w:tr>
    <w:tr w:rsidR="00A80F34">
      <w:trPr>
        <w:cantSplit/>
      </w:trPr>
      <w:tc>
        <w:tcPr>
          <w:tcW w:w="4606" w:type="dxa"/>
          <w:gridSpan w:val="2"/>
        </w:tcPr>
        <w:p w:rsidR="00A80F34" w:rsidRDefault="00AC3B5F" w:rsidP="005C17AB">
          <w:pPr>
            <w:pStyle w:val="Sidhuvud"/>
          </w:pPr>
          <w:bookmarkStart w:id="5" w:name="user"/>
          <w:bookmarkEnd w:id="5"/>
          <w:r>
            <w:t>Peter Johannesson</w:t>
          </w:r>
        </w:p>
      </w:tc>
      <w:tc>
        <w:tcPr>
          <w:tcW w:w="3402" w:type="dxa"/>
        </w:tcPr>
        <w:p w:rsidR="00A80F34" w:rsidRDefault="00A80F34" w:rsidP="005C17AB">
          <w:pPr>
            <w:pStyle w:val="Sidhuvud"/>
          </w:pPr>
        </w:p>
      </w:tc>
      <w:tc>
        <w:tcPr>
          <w:tcW w:w="1208" w:type="dxa"/>
        </w:tcPr>
        <w:p w:rsidR="00A80F34" w:rsidRDefault="00A80F34" w:rsidP="005C17AB">
          <w:pPr>
            <w:pStyle w:val="Sidhuvud"/>
          </w:pPr>
          <w:bookmarkStart w:id="6" w:name="diarienr"/>
          <w:bookmarkEnd w:id="6"/>
        </w:p>
      </w:tc>
    </w:tr>
    <w:tr w:rsidR="00A80F34" w:rsidTr="00AC3B5F">
      <w:trPr>
        <w:cantSplit/>
        <w:trHeight w:val="334"/>
      </w:trPr>
      <w:tc>
        <w:tcPr>
          <w:tcW w:w="4606" w:type="dxa"/>
          <w:gridSpan w:val="2"/>
        </w:tcPr>
        <w:p w:rsidR="00A80F34" w:rsidRDefault="00950338" w:rsidP="005C17AB">
          <w:pPr>
            <w:pStyle w:val="Sidhuvud"/>
          </w:pPr>
          <w:bookmarkStart w:id="7" w:name="funk"/>
          <w:bookmarkEnd w:id="7"/>
          <w:r>
            <w:t>Arbetsmiljöstrateg</w:t>
          </w:r>
        </w:p>
      </w:tc>
      <w:tc>
        <w:tcPr>
          <w:tcW w:w="3402" w:type="dxa"/>
        </w:tcPr>
        <w:p w:rsidR="00A80F34" w:rsidRDefault="00A80F34" w:rsidP="005C17AB">
          <w:pPr>
            <w:pStyle w:val="Sidhuvud"/>
          </w:pPr>
        </w:p>
      </w:tc>
      <w:tc>
        <w:tcPr>
          <w:tcW w:w="1208" w:type="dxa"/>
        </w:tcPr>
        <w:p w:rsidR="00A80F34" w:rsidRDefault="00A80F34" w:rsidP="005C17AB">
          <w:pPr>
            <w:pStyle w:val="Sidhuvud"/>
          </w:pPr>
          <w:bookmarkStart w:id="8" w:name="dnr"/>
          <w:bookmarkEnd w:id="8"/>
        </w:p>
      </w:tc>
    </w:tr>
    <w:tr w:rsidR="00A80F34">
      <w:trPr>
        <w:cantSplit/>
      </w:trPr>
      <w:tc>
        <w:tcPr>
          <w:tcW w:w="4606" w:type="dxa"/>
          <w:gridSpan w:val="2"/>
        </w:tcPr>
        <w:p w:rsidR="00A80F34" w:rsidRDefault="00A80F34" w:rsidP="005C17AB">
          <w:pPr>
            <w:pStyle w:val="Sidhuvud"/>
          </w:pPr>
          <w:bookmarkStart w:id="9" w:name="phone"/>
          <w:bookmarkEnd w:id="9"/>
        </w:p>
      </w:tc>
      <w:tc>
        <w:tcPr>
          <w:tcW w:w="3402" w:type="dxa"/>
        </w:tcPr>
        <w:p w:rsidR="00A80F34" w:rsidRDefault="00A80F34" w:rsidP="005C17AB">
          <w:pPr>
            <w:pStyle w:val="Sidhuvud"/>
          </w:pPr>
        </w:p>
      </w:tc>
      <w:tc>
        <w:tcPr>
          <w:tcW w:w="1208" w:type="dxa"/>
        </w:tcPr>
        <w:p w:rsidR="00A80F34" w:rsidRDefault="00A80F34" w:rsidP="005C17AB">
          <w:pPr>
            <w:pStyle w:val="Sidhuvud"/>
          </w:pPr>
        </w:p>
      </w:tc>
    </w:tr>
  </w:tbl>
  <w:p w:rsidR="00A80F34" w:rsidRDefault="00A80F34" w:rsidP="005C17AB">
    <w:pPr>
      <w:pStyle w:val="Sidfo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7E5"/>
    <w:multiLevelType w:val="singleLevel"/>
    <w:tmpl w:val="A6CC4F16"/>
    <w:lvl w:ilvl="0">
      <w:start w:val="1"/>
      <w:numFmt w:val="none"/>
      <w:pStyle w:val="Numreradlistaatt"/>
      <w:lvlText w:val="%1att"/>
      <w:lvlJc w:val="left"/>
      <w:pPr>
        <w:tabs>
          <w:tab w:val="num" w:pos="454"/>
        </w:tabs>
        <w:ind w:left="454" w:hanging="454"/>
      </w:pPr>
      <w:rPr>
        <w:rFonts w:ascii="Times New Roman" w:hAnsi="Times New Roman" w:hint="default"/>
        <w:b/>
        <w:i w:val="0"/>
        <w:sz w:val="24"/>
      </w:rPr>
    </w:lvl>
  </w:abstractNum>
  <w:abstractNum w:abstractNumId="1" w15:restartNumberingAfterBreak="0">
    <w:nsid w:val="31A5395E"/>
    <w:multiLevelType w:val="multilevel"/>
    <w:tmpl w:val="348C56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47A612A"/>
    <w:multiLevelType w:val="singleLevel"/>
    <w:tmpl w:val="471A458E"/>
    <w:lvl w:ilvl="0">
      <w:start w:val="1"/>
      <w:numFmt w:val="bullet"/>
      <w:pStyle w:val="Numreradlista-"/>
      <w:lvlText w:val=""/>
      <w:lvlJc w:val="left"/>
      <w:pPr>
        <w:tabs>
          <w:tab w:val="num" w:pos="454"/>
        </w:tabs>
        <w:ind w:left="454" w:hanging="454"/>
      </w:pPr>
      <w:rPr>
        <w:rFonts w:ascii="Symbol" w:hAnsi="Symbol" w:hint="default"/>
      </w:rPr>
    </w:lvl>
  </w:abstractNum>
  <w:abstractNum w:abstractNumId="3" w15:restartNumberingAfterBreak="0">
    <w:nsid w:val="6F235EE5"/>
    <w:multiLevelType w:val="hybridMultilevel"/>
    <w:tmpl w:val="BE763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styleLockThem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5F"/>
    <w:rsid w:val="00062706"/>
    <w:rsid w:val="0008679E"/>
    <w:rsid w:val="000942BF"/>
    <w:rsid w:val="000C3545"/>
    <w:rsid w:val="000C5A15"/>
    <w:rsid w:val="000E3B10"/>
    <w:rsid w:val="000F39F3"/>
    <w:rsid w:val="000F70DB"/>
    <w:rsid w:val="001067AD"/>
    <w:rsid w:val="00110751"/>
    <w:rsid w:val="00112EE2"/>
    <w:rsid w:val="0014529F"/>
    <w:rsid w:val="0016000A"/>
    <w:rsid w:val="0016331C"/>
    <w:rsid w:val="00216819"/>
    <w:rsid w:val="002350D6"/>
    <w:rsid w:val="0025070E"/>
    <w:rsid w:val="00255BF5"/>
    <w:rsid w:val="00291DC5"/>
    <w:rsid w:val="002A249C"/>
    <w:rsid w:val="002A295F"/>
    <w:rsid w:val="002D5970"/>
    <w:rsid w:val="00303258"/>
    <w:rsid w:val="003501CE"/>
    <w:rsid w:val="00396308"/>
    <w:rsid w:val="003A5C11"/>
    <w:rsid w:val="003B0D9B"/>
    <w:rsid w:val="00415EDF"/>
    <w:rsid w:val="00415F12"/>
    <w:rsid w:val="004844F7"/>
    <w:rsid w:val="004D7B50"/>
    <w:rsid w:val="00533BF8"/>
    <w:rsid w:val="0053757D"/>
    <w:rsid w:val="005502DD"/>
    <w:rsid w:val="00552F33"/>
    <w:rsid w:val="0055368D"/>
    <w:rsid w:val="00570F0E"/>
    <w:rsid w:val="00574EBB"/>
    <w:rsid w:val="00580409"/>
    <w:rsid w:val="00587A10"/>
    <w:rsid w:val="0059580E"/>
    <w:rsid w:val="005A4377"/>
    <w:rsid w:val="005B12DE"/>
    <w:rsid w:val="005C17AB"/>
    <w:rsid w:val="00635C9E"/>
    <w:rsid w:val="0067274A"/>
    <w:rsid w:val="006B3F02"/>
    <w:rsid w:val="006C325B"/>
    <w:rsid w:val="006C6B2F"/>
    <w:rsid w:val="006D2C7C"/>
    <w:rsid w:val="00712855"/>
    <w:rsid w:val="00780FEA"/>
    <w:rsid w:val="00795BBB"/>
    <w:rsid w:val="007D5429"/>
    <w:rsid w:val="007F0B11"/>
    <w:rsid w:val="008070C4"/>
    <w:rsid w:val="008512EC"/>
    <w:rsid w:val="008525AE"/>
    <w:rsid w:val="00870640"/>
    <w:rsid w:val="0087150D"/>
    <w:rsid w:val="00901EC9"/>
    <w:rsid w:val="00950338"/>
    <w:rsid w:val="009B6889"/>
    <w:rsid w:val="009D5C7C"/>
    <w:rsid w:val="00A67AAF"/>
    <w:rsid w:val="00A80F34"/>
    <w:rsid w:val="00AC3B5F"/>
    <w:rsid w:val="00AD7848"/>
    <w:rsid w:val="00AD79E3"/>
    <w:rsid w:val="00AE794D"/>
    <w:rsid w:val="00B020F6"/>
    <w:rsid w:val="00B31C0E"/>
    <w:rsid w:val="00B37816"/>
    <w:rsid w:val="00B522BF"/>
    <w:rsid w:val="00B530E5"/>
    <w:rsid w:val="00B9469E"/>
    <w:rsid w:val="00BD12BC"/>
    <w:rsid w:val="00C53D28"/>
    <w:rsid w:val="00C575DD"/>
    <w:rsid w:val="00C81B98"/>
    <w:rsid w:val="00D11B23"/>
    <w:rsid w:val="00D158D9"/>
    <w:rsid w:val="00D73AA5"/>
    <w:rsid w:val="00D86403"/>
    <w:rsid w:val="00DB18AB"/>
    <w:rsid w:val="00DD3C93"/>
    <w:rsid w:val="00E365DB"/>
    <w:rsid w:val="00E53DDD"/>
    <w:rsid w:val="00EB0E18"/>
    <w:rsid w:val="00EB1C82"/>
    <w:rsid w:val="00EF28BD"/>
    <w:rsid w:val="00F82C78"/>
    <w:rsid w:val="00F84DCF"/>
    <w:rsid w:val="00FB28C0"/>
    <w:rsid w:val="00FF6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9C63652-7831-4F58-8024-DD062CB3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AB"/>
    <w:rPr>
      <w:rFonts w:asciiTheme="minorHAnsi" w:hAnsiTheme="minorHAnsi"/>
      <w:sz w:val="22"/>
    </w:rPr>
  </w:style>
  <w:style w:type="paragraph" w:styleId="Rubrik1">
    <w:name w:val="heading 1"/>
    <w:basedOn w:val="Normal"/>
    <w:next w:val="Normal"/>
    <w:qFormat/>
    <w:rsid w:val="005C17AB"/>
    <w:pPr>
      <w:keepNext/>
      <w:spacing w:before="240" w:after="60"/>
      <w:outlineLvl w:val="0"/>
    </w:pPr>
    <w:rPr>
      <w:rFonts w:asciiTheme="majorHAnsi" w:hAnsiTheme="majorHAnsi"/>
      <w:b/>
      <w:kern w:val="28"/>
      <w:sz w:val="36"/>
    </w:rPr>
  </w:style>
  <w:style w:type="paragraph" w:styleId="Rubrik2">
    <w:name w:val="heading 2"/>
    <w:basedOn w:val="Normal"/>
    <w:next w:val="Normal"/>
    <w:qFormat/>
    <w:rsid w:val="005C17AB"/>
    <w:pPr>
      <w:keepNext/>
      <w:spacing w:before="240" w:after="60"/>
      <w:outlineLvl w:val="1"/>
    </w:pPr>
    <w:rPr>
      <w:rFonts w:asciiTheme="majorHAnsi" w:hAnsiTheme="majorHAnsi"/>
      <w:b/>
      <w:sz w:val="30"/>
    </w:rPr>
  </w:style>
  <w:style w:type="paragraph" w:styleId="Rubrik3">
    <w:name w:val="heading 3"/>
    <w:basedOn w:val="Normal"/>
    <w:next w:val="Normal"/>
    <w:qFormat/>
    <w:rsid w:val="005C17AB"/>
    <w:pPr>
      <w:keepNext/>
      <w:spacing w:before="240" w:after="60"/>
      <w:outlineLvl w:val="2"/>
    </w:pPr>
    <w:rPr>
      <w:rFonts w:asciiTheme="majorHAnsi" w:hAnsiTheme="majorHAnsi"/>
      <w:b/>
      <w:sz w:val="26"/>
    </w:rPr>
  </w:style>
  <w:style w:type="paragraph" w:styleId="Rubrik4">
    <w:name w:val="heading 4"/>
    <w:basedOn w:val="Normal"/>
    <w:next w:val="Normal"/>
    <w:qFormat/>
    <w:rsid w:val="005C17AB"/>
    <w:pPr>
      <w:keepNext/>
      <w:spacing w:before="240" w:after="60"/>
      <w:outlineLvl w:val="3"/>
    </w:pPr>
    <w:rPr>
      <w:rFonts w:asciiTheme="majorHAnsi" w:hAnsiTheme="majorHAns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C17AB"/>
    <w:rPr>
      <w:rFonts w:asciiTheme="majorHAnsi" w:hAnsiTheme="majorHAnsi"/>
      <w:sz w:val="16"/>
    </w:rPr>
  </w:style>
  <w:style w:type="paragraph" w:customStyle="1" w:styleId="Tabellrubrik">
    <w:name w:val="Tabellrubrik"/>
    <w:basedOn w:val="Normal"/>
    <w:next w:val="Normal"/>
    <w:rPr>
      <w:rFonts w:ascii="Arial" w:hAnsi="Arial"/>
      <w:sz w:val="16"/>
    </w:rPr>
  </w:style>
  <w:style w:type="paragraph" w:styleId="Sidhuvud">
    <w:name w:val="header"/>
    <w:basedOn w:val="Normal"/>
    <w:rsid w:val="005C17AB"/>
    <w:pPr>
      <w:tabs>
        <w:tab w:val="center" w:pos="4536"/>
        <w:tab w:val="right" w:pos="9072"/>
      </w:tabs>
    </w:pPr>
    <w:rPr>
      <w:rFonts w:asciiTheme="majorHAnsi" w:hAnsiTheme="majorHAnsi"/>
    </w:rPr>
  </w:style>
  <w:style w:type="character" w:styleId="Sidnummer">
    <w:name w:val="page number"/>
    <w:basedOn w:val="Standardstycketeckensnitt"/>
    <w:rsid w:val="005C17AB"/>
    <w:rPr>
      <w:rFonts w:asciiTheme="majorHAnsi" w:hAnsiTheme="majorHAnsi"/>
    </w:rPr>
  </w:style>
  <w:style w:type="paragraph" w:customStyle="1" w:styleId="Tabelltext">
    <w:name w:val="Tabelltext"/>
    <w:basedOn w:val="Normal"/>
    <w:pPr>
      <w:spacing w:before="120"/>
    </w:pPr>
  </w:style>
  <w:style w:type="paragraph" w:customStyle="1" w:styleId="Numreradlista-">
    <w:name w:val="Numrerad lista -"/>
    <w:basedOn w:val="Normal"/>
    <w:pPr>
      <w:numPr>
        <w:numId w:val="2"/>
      </w:numPr>
      <w:spacing w:before="120"/>
    </w:pPr>
  </w:style>
  <w:style w:type="paragraph" w:customStyle="1" w:styleId="Numreradlistaatt">
    <w:name w:val="Numrerad lista att"/>
    <w:basedOn w:val="Normal"/>
    <w:pPr>
      <w:numPr>
        <w:numId w:val="1"/>
      </w:numPr>
      <w:spacing w:before="120"/>
    </w:pPr>
  </w:style>
  <w:style w:type="paragraph" w:customStyle="1" w:styleId="Lptext">
    <w:name w:val="Löptext"/>
    <w:basedOn w:val="Normal"/>
    <w:pPr>
      <w:spacing w:after="120"/>
    </w:pPr>
  </w:style>
  <w:style w:type="paragraph" w:styleId="Rubrik">
    <w:name w:val="Title"/>
    <w:basedOn w:val="Normal"/>
    <w:next w:val="Normal"/>
    <w:link w:val="RubrikChar"/>
    <w:uiPriority w:val="10"/>
    <w:qFormat/>
    <w:rsid w:val="005C17A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C17AB"/>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semiHidden/>
    <w:qFormat/>
    <w:rsid w:val="005C17AB"/>
    <w:pPr>
      <w:keepLines/>
      <w:spacing w:after="0" w:line="259" w:lineRule="auto"/>
      <w:outlineLvl w:val="9"/>
    </w:pPr>
    <w:rPr>
      <w:rFonts w:eastAsiaTheme="majorEastAsia" w:cstheme="majorBidi"/>
      <w:kern w:val="0"/>
      <w:szCs w:val="32"/>
    </w:rPr>
  </w:style>
  <w:style w:type="character" w:customStyle="1" w:styleId="SidfotChar">
    <w:name w:val="Sidfot Char"/>
    <w:basedOn w:val="Standardstycketeckensnitt"/>
    <w:link w:val="Sidfot"/>
    <w:rsid w:val="00AC3B5F"/>
    <w:rPr>
      <w:rFonts w:asciiTheme="majorHAnsi" w:hAnsiTheme="majorHAnsi"/>
      <w:sz w:val="16"/>
    </w:rPr>
  </w:style>
  <w:style w:type="paragraph" w:styleId="Ballongtext">
    <w:name w:val="Balloon Text"/>
    <w:basedOn w:val="Normal"/>
    <w:link w:val="BallongtextChar"/>
    <w:uiPriority w:val="99"/>
    <w:semiHidden/>
    <w:unhideWhenUsed/>
    <w:rsid w:val="00EF28B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28BD"/>
    <w:rPr>
      <w:rFonts w:ascii="Segoe UI" w:hAnsi="Segoe UI" w:cs="Segoe UI"/>
      <w:sz w:val="18"/>
      <w:szCs w:val="18"/>
    </w:rPr>
  </w:style>
  <w:style w:type="paragraph" w:styleId="Liststycke">
    <w:name w:val="List Paragraph"/>
    <w:basedOn w:val="Normal"/>
    <w:uiPriority w:val="34"/>
    <w:rsid w:val="0041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petj\AppData\Roaming\Microsoft\Mallar\GE%20Mallar\Mallar\Dokument.dotx" TargetMode="External"/></Relationships>
</file>

<file path=word/theme/theme1.xml><?xml version="1.0" encoding="utf-8"?>
<a:theme xmlns:a="http://schemas.openxmlformats.org/drawingml/2006/main" name="Göteborg Energi">
  <a:themeElements>
    <a:clrScheme name="Göteborg Energi">
      <a:dk1>
        <a:sysClr val="windowText" lastClr="000000"/>
      </a:dk1>
      <a:lt1>
        <a:sysClr val="window" lastClr="FFFFFF"/>
      </a:lt1>
      <a:dk2>
        <a:srgbClr val="3A3838"/>
      </a:dk2>
      <a:lt2>
        <a:srgbClr val="C3C4C5"/>
      </a:lt2>
      <a:accent1>
        <a:srgbClr val="5CA1C4"/>
      </a:accent1>
      <a:accent2>
        <a:srgbClr val="7AAD3E"/>
      </a:accent2>
      <a:accent3>
        <a:srgbClr val="BF831F"/>
      </a:accent3>
      <a:accent4>
        <a:srgbClr val="BE593B"/>
      </a:accent4>
      <a:accent5>
        <a:srgbClr val="951D7E"/>
      </a:accent5>
      <a:accent6>
        <a:srgbClr val="017744"/>
      </a:accent6>
      <a:hlink>
        <a:srgbClr val="0563C1"/>
      </a:hlink>
      <a:folHlink>
        <a:srgbClr val="951D7E"/>
      </a:folHlink>
    </a:clrScheme>
    <a:fontScheme name="Göteborg Energi">
      <a:majorFont>
        <a:latin typeface="Corbe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0</TotalTime>
  <Pages>4</Pages>
  <Words>680</Words>
  <Characters>3991</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Johannesson</dc:creator>
  <cp:lastModifiedBy>Sjödelius Sarah-Kim</cp:lastModifiedBy>
  <cp:revision>2</cp:revision>
  <cp:lastPrinted>2020-01-31T12:30:00Z</cp:lastPrinted>
  <dcterms:created xsi:type="dcterms:W3CDTF">2020-02-10T10:13:00Z</dcterms:created>
  <dcterms:modified xsi:type="dcterms:W3CDTF">2020-02-10T10:13:00Z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filetime>2020-01-30T23:00:00Z</vt:filetime>
  </property>
</Properties>
</file>